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hint="eastAsia" w:ascii="楷体" w:hAnsi="楷体" w:eastAsia="楷体"/>
          <w:b/>
          <w:sz w:val="52"/>
          <w:szCs w:val="52"/>
          <w:lang w:eastAsia="zh-CN"/>
        </w:rPr>
      </w:pPr>
      <w:r>
        <w:rPr>
          <w:rFonts w:hint="eastAsia" w:ascii="楷体" w:hAnsi="楷体" w:eastAsia="楷体"/>
          <w:b/>
          <w:sz w:val="52"/>
          <w:szCs w:val="52"/>
          <w:lang w:eastAsia="zh-CN"/>
        </w:rPr>
        <w:t>本溪市明山区人民检察院</w:t>
      </w:r>
    </w:p>
    <w:p>
      <w:pPr>
        <w:spacing w:line="560" w:lineRule="exact"/>
        <w:jc w:val="center"/>
        <w:rPr>
          <w:rFonts w:ascii="楷体" w:hAnsi="楷体" w:eastAsia="楷体"/>
          <w:b/>
          <w:sz w:val="52"/>
          <w:szCs w:val="52"/>
        </w:rPr>
      </w:pPr>
      <w:r>
        <w:rPr>
          <w:rFonts w:hint="eastAsia" w:ascii="楷体" w:hAnsi="楷体" w:eastAsia="楷体"/>
          <w:b/>
          <w:sz w:val="52"/>
          <w:szCs w:val="52"/>
        </w:rPr>
        <w:t>2018年度部门预算</w:t>
      </w:r>
    </w:p>
    <w:p>
      <w:pPr>
        <w:spacing w:line="560" w:lineRule="exact"/>
        <w:jc w:val="center"/>
        <w:rPr>
          <w:b/>
          <w:sz w:val="52"/>
          <w:szCs w:val="52"/>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rPr>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本溪市明山区人民检察院</w:t>
      </w:r>
      <w:r>
        <w:rPr>
          <w:rFonts w:hint="eastAsia" w:ascii="黑体" w:hAnsi="黑体" w:eastAsia="黑体"/>
          <w:sz w:val="32"/>
          <w:szCs w:val="32"/>
        </w:rPr>
        <w:t>概况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一、主要职责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二、部门预算单位构成</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本溪市明山区人民检察院</w:t>
      </w:r>
      <w:r>
        <w:rPr>
          <w:rFonts w:hint="eastAsia" w:ascii="黑体" w:hAnsi="黑体" w:eastAsia="黑体"/>
          <w:sz w:val="32"/>
          <w:szCs w:val="32"/>
        </w:rPr>
        <w:t>2018年部门预算表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收支预算批复总表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收入预算批复总表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支出预算批复总表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按功能科目批复总表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政府预算支出经济分类批复总表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部门预算支出经济分类批复总表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一般公共预算支出批复表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财政拨款收入安排支出批复表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中央提前告知转移支付资金安排支出批复表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w:t>
      </w:r>
      <w:r>
        <w:rPr>
          <w:rFonts w:hint="eastAsia" w:ascii="仿宋_GB2312" w:hAnsi="黑体" w:eastAsia="仿宋_GB2312"/>
          <w:sz w:val="32"/>
          <w:szCs w:val="32"/>
          <w:lang w:eastAsia="zh-CN"/>
        </w:rPr>
        <w:t>明山区人民检察院</w:t>
      </w:r>
      <w:r>
        <w:rPr>
          <w:rFonts w:hint="eastAsia" w:ascii="仿宋_GB2312" w:hAnsi="宋体" w:eastAsia="仿宋_GB2312" w:cs="宋体"/>
          <w:sz w:val="32"/>
          <w:szCs w:val="32"/>
        </w:rPr>
        <w:t>纳入预算管理的行政事业性收费等非税收入安排支出批复表</w:t>
      </w:r>
    </w:p>
    <w:p>
      <w:pPr>
        <w:tabs>
          <w:tab w:val="left" w:pos="1260"/>
        </w:tabs>
        <w:spacing w:line="560" w:lineRule="exact"/>
        <w:ind w:left="1500" w:leftChars="257" w:hanging="960" w:hangingChars="300"/>
        <w:rPr>
          <w:rFonts w:ascii="仿宋_GB2312" w:hAnsi="黑体" w:eastAsia="仿宋_GB2312"/>
          <w:sz w:val="32"/>
          <w:szCs w:val="32"/>
        </w:rPr>
      </w:pPr>
      <w:r>
        <w:rPr>
          <w:rFonts w:hint="eastAsia" w:ascii="仿宋_GB2312" w:hAnsi="黑体" w:eastAsia="仿宋_GB2312"/>
          <w:sz w:val="32"/>
          <w:szCs w:val="32"/>
        </w:rPr>
        <w:t>十一、2018年</w:t>
      </w:r>
      <w:r>
        <w:rPr>
          <w:rFonts w:hint="eastAsia" w:ascii="仿宋_GB2312" w:hAnsi="黑体" w:eastAsia="仿宋_GB2312"/>
          <w:sz w:val="32"/>
          <w:szCs w:val="32"/>
          <w:lang w:eastAsia="zh-CN"/>
        </w:rPr>
        <w:t>明山区人民检察院</w:t>
      </w:r>
      <w:r>
        <w:rPr>
          <w:rFonts w:hint="eastAsia" w:ascii="仿宋_GB2312" w:hAnsi="宋体" w:eastAsia="仿宋_GB2312" w:cs="宋体"/>
          <w:sz w:val="32"/>
          <w:szCs w:val="32"/>
        </w:rPr>
        <w:t>纳入政府性基金预算管理收入安排支出批复表</w:t>
      </w:r>
    </w:p>
    <w:p>
      <w:pPr>
        <w:tabs>
          <w:tab w:val="left" w:pos="1260"/>
        </w:tabs>
        <w:spacing w:line="560" w:lineRule="exact"/>
        <w:ind w:left="1598" w:leftChars="304" w:hanging="960" w:hangingChars="300"/>
        <w:rPr>
          <w:rFonts w:ascii="仿宋_GB2312" w:hAnsi="黑体" w:eastAsia="仿宋_GB2312"/>
          <w:sz w:val="32"/>
          <w:szCs w:val="32"/>
        </w:rPr>
      </w:pPr>
      <w:r>
        <w:rPr>
          <w:rFonts w:hint="eastAsia" w:ascii="仿宋_GB2312" w:hAnsi="黑体" w:eastAsia="仿宋_GB2312"/>
          <w:sz w:val="32"/>
          <w:szCs w:val="32"/>
        </w:rPr>
        <w:t>十二、2018年</w:t>
      </w:r>
      <w:r>
        <w:rPr>
          <w:rFonts w:hint="eastAsia" w:ascii="仿宋_GB2312" w:hAnsi="黑体" w:eastAsia="仿宋_GB2312"/>
          <w:sz w:val="32"/>
          <w:szCs w:val="32"/>
          <w:lang w:eastAsia="zh-CN"/>
        </w:rPr>
        <w:t>明山区人民检察院</w:t>
      </w:r>
      <w:r>
        <w:rPr>
          <w:rFonts w:hint="eastAsia" w:ascii="仿宋_GB2312" w:hAnsi="宋体" w:eastAsia="仿宋_GB2312" w:cs="宋体"/>
          <w:sz w:val="32"/>
          <w:szCs w:val="32"/>
        </w:rPr>
        <w:t>纳入专户管理的行政事业性收费等非税收入安排支出批复表</w:t>
      </w:r>
    </w:p>
    <w:p>
      <w:pPr>
        <w:spacing w:line="560" w:lineRule="exact"/>
        <w:ind w:left="1438" w:leftChars="304" w:hanging="800" w:hangingChars="250"/>
        <w:rPr>
          <w:rFonts w:ascii="仿宋_GB2312" w:hAnsi="黑体" w:eastAsia="仿宋_GB2312"/>
          <w:sz w:val="32"/>
          <w:szCs w:val="32"/>
        </w:rPr>
      </w:pPr>
      <w:r>
        <w:rPr>
          <w:rFonts w:hint="eastAsia" w:ascii="仿宋_GB2312" w:hAnsi="黑体" w:eastAsia="仿宋_GB2312"/>
          <w:sz w:val="32"/>
          <w:szCs w:val="32"/>
        </w:rPr>
        <w:t>十三、2018年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一般公共预算基本支出批复表</w:t>
      </w:r>
    </w:p>
    <w:p>
      <w:pPr>
        <w:spacing w:line="560" w:lineRule="exact"/>
        <w:ind w:left="1598" w:leftChars="304" w:hanging="960" w:hangingChars="300"/>
        <w:rPr>
          <w:rFonts w:ascii="仿宋_GB2312" w:hAnsi="黑体" w:eastAsia="仿宋_GB2312"/>
          <w:sz w:val="32"/>
          <w:szCs w:val="32"/>
        </w:rPr>
      </w:pPr>
      <w:r>
        <w:rPr>
          <w:rFonts w:hint="eastAsia" w:ascii="仿宋_GB2312" w:hAnsi="黑体" w:eastAsia="仿宋_GB2312"/>
          <w:sz w:val="32"/>
          <w:szCs w:val="32"/>
        </w:rPr>
        <w:t>十四、2018年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一般公共预算“三公”经费支出批复表</w:t>
      </w:r>
    </w:p>
    <w:p>
      <w:pPr>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十五、2018年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项目等支出明细情况批复表</w:t>
      </w:r>
    </w:p>
    <w:p>
      <w:pPr>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十六、2018年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债务支出明细情况批复表</w:t>
      </w:r>
    </w:p>
    <w:p>
      <w:pPr>
        <w:spacing w:line="560" w:lineRule="exact"/>
        <w:ind w:left="1499" w:leftChars="333" w:hanging="800" w:hangingChars="250"/>
        <w:rPr>
          <w:rFonts w:ascii="仿宋_GB2312" w:hAnsi="黑体" w:eastAsia="仿宋_GB2312"/>
          <w:sz w:val="32"/>
          <w:szCs w:val="32"/>
        </w:rPr>
      </w:pPr>
      <w:r>
        <w:rPr>
          <w:rFonts w:hint="eastAsia" w:ascii="仿宋_GB2312" w:hAnsi="黑体" w:eastAsia="仿宋_GB2312"/>
          <w:sz w:val="32"/>
          <w:szCs w:val="32"/>
        </w:rPr>
        <w:t>十七、2018年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政府采购支出明细情况批复表</w:t>
      </w:r>
    </w:p>
    <w:p>
      <w:pPr>
        <w:spacing w:line="560" w:lineRule="exact"/>
        <w:ind w:left="1339" w:leftChars="333" w:hanging="640" w:hangingChars="200"/>
        <w:rPr>
          <w:rFonts w:ascii="仿宋_GB2312" w:hAnsi="黑体" w:eastAsia="仿宋_GB2312"/>
          <w:sz w:val="32"/>
          <w:szCs w:val="32"/>
        </w:rPr>
      </w:pPr>
      <w:r>
        <w:rPr>
          <w:rFonts w:hint="eastAsia" w:ascii="仿宋_GB2312" w:hAnsi="黑体" w:eastAsia="仿宋_GB2312"/>
          <w:sz w:val="32"/>
          <w:szCs w:val="32"/>
        </w:rPr>
        <w:t>十八、2018年</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政府购买服务支出明细情况批复表</w:t>
      </w:r>
    </w:p>
    <w:p>
      <w:pPr>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十九、</w:t>
      </w:r>
      <w:r>
        <w:rPr>
          <w:rFonts w:hint="eastAsia" w:ascii="仿宋_GB2312" w:hAnsi="黑体" w:eastAsia="仿宋_GB2312"/>
          <w:sz w:val="32"/>
          <w:szCs w:val="32"/>
          <w:lang w:eastAsia="zh-CN"/>
        </w:rPr>
        <w:t>明山区人民检察院</w:t>
      </w:r>
      <w:r>
        <w:rPr>
          <w:rFonts w:hint="eastAsia" w:ascii="仿宋_GB2312" w:hAnsi="黑体" w:eastAsia="仿宋_GB2312"/>
          <w:sz w:val="32"/>
          <w:szCs w:val="32"/>
        </w:rPr>
        <w:t>2018年项目支出预算绩效目标情况表</w:t>
      </w:r>
    </w:p>
    <w:p>
      <w:pPr>
        <w:spacing w:line="560" w:lineRule="exact"/>
        <w:ind w:left="1920" w:hanging="1920"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本溪市明山区人民检察院</w:t>
      </w:r>
      <w:r>
        <w:rPr>
          <w:rFonts w:hint="eastAsia" w:ascii="黑体" w:hAnsi="黑体" w:eastAsia="黑体"/>
          <w:sz w:val="32"/>
          <w:szCs w:val="32"/>
        </w:rPr>
        <w:t>2018年部门预算情况说明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jc w:val="center"/>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本溪市明山区人民检察院</w:t>
      </w:r>
      <w:r>
        <w:rPr>
          <w:rFonts w:hint="eastAsia" w:ascii="宋体" w:hAnsi="宋体"/>
          <w:b/>
          <w:sz w:val="36"/>
          <w:szCs w:val="36"/>
        </w:rPr>
        <w:t>概况</w:t>
      </w:r>
    </w:p>
    <w:p>
      <w:pPr>
        <w:spacing w:line="560" w:lineRule="exact"/>
        <w:ind w:firstLine="640" w:firstLineChars="200"/>
        <w:jc w:val="left"/>
        <w:rPr>
          <w:rFonts w:ascii="黑体" w:eastAsia="黑体"/>
          <w:sz w:val="32"/>
          <w:szCs w:val="32"/>
        </w:rPr>
      </w:pPr>
    </w:p>
    <w:p>
      <w:pPr>
        <w:spacing w:line="560" w:lineRule="exact"/>
        <w:ind w:firstLine="640" w:firstLineChars="200"/>
        <w:jc w:val="left"/>
        <w:rPr>
          <w:rFonts w:ascii="黑体" w:eastAsia="黑体"/>
          <w:sz w:val="32"/>
          <w:szCs w:val="32"/>
        </w:rPr>
      </w:pPr>
      <w:r>
        <w:rPr>
          <w:rFonts w:hint="eastAsia" w:ascii="黑体" w:eastAsia="黑体"/>
          <w:sz w:val="32"/>
          <w:szCs w:val="32"/>
        </w:rPr>
        <w:t>一、部门职责</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对于叛国案、分裂国家案以及严重破坏国家的政策、法律、政令统一实施的重大犯罪案件,行使检察权。</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对于直接受理的国家工作人员利用职权实施的犯罪案件,进行侦查。</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对于公安机关、国家安全机关等侦查机关侦查的案件进行审查,决定是否逮捕、起诉或者不起诉，并对侦查机关的立案、侦查活动是否合法实行监督。</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对于刑事案件提起公诉,支持公诉;对于人民法院的刑事判决、裁定是否正确和审判活动是否合法实行监督。</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对于监狱、看守所等执行机关执行刑罚的活动是否合法实行监督。</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对于人民法院的民事审判活动实行法律监督,对人民法院已经发生效力的判决、裁定,发现违反法律、法规规定的,依法提出抗诉。</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对于行政诉讼实行法律监督。对人民法院已经发生效力的判决、裁定发现违反法律、法规规定的,依法提出抗诉。</w:t>
      </w:r>
    </w:p>
    <w:p>
      <w:pPr>
        <w:spacing w:line="560" w:lineRule="exact"/>
        <w:ind w:firstLine="640" w:firstLineChars="200"/>
        <w:jc w:val="left"/>
        <w:rPr>
          <w:rFonts w:ascii="黑体" w:eastAsia="黑体"/>
          <w:sz w:val="32"/>
          <w:szCs w:val="32"/>
        </w:rPr>
      </w:pPr>
      <w:r>
        <w:rPr>
          <w:rFonts w:hint="eastAsia" w:ascii="黑体" w:eastAsia="黑体"/>
          <w:sz w:val="32"/>
          <w:szCs w:val="32"/>
        </w:rPr>
        <w:t>二、机构设置</w:t>
      </w:r>
    </w:p>
    <w:p>
      <w:pPr>
        <w:spacing w:line="560" w:lineRule="exact"/>
        <w:ind w:firstLine="643" w:firstLineChars="200"/>
        <w:jc w:val="left"/>
        <w:rPr>
          <w:rFonts w:ascii="仿宋_GB2312" w:eastAsia="仿宋_GB2312"/>
          <w:b/>
          <w:bCs/>
          <w:sz w:val="32"/>
          <w:szCs w:val="32"/>
        </w:rPr>
      </w:pPr>
      <w:r>
        <w:rPr>
          <w:rFonts w:hint="eastAsia" w:ascii="仿宋_GB2312" w:eastAsia="仿宋_GB2312"/>
          <w:b/>
          <w:sz w:val="32"/>
          <w:szCs w:val="32"/>
          <w:lang w:eastAsia="zh-CN"/>
        </w:rPr>
        <w:t>本溪市明山区人民检察院为一级预算单位，下属</w:t>
      </w:r>
      <w:r>
        <w:rPr>
          <w:rFonts w:hint="eastAsia" w:ascii="仿宋_GB2312" w:eastAsia="仿宋_GB2312"/>
          <w:b/>
          <w:bCs/>
          <w:sz w:val="32"/>
          <w:szCs w:val="32"/>
          <w:lang w:eastAsia="zh-CN"/>
        </w:rPr>
        <w:t>本溪市明山区人民检察院机关事务管理服务中心不独立核算，未纳入部门预算编制范围。</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rPr>
          <w:rFonts w:ascii="宋体" w:hAnsi="宋体"/>
          <w:b/>
          <w:sz w:val="36"/>
          <w:szCs w:val="36"/>
        </w:rPr>
      </w:pPr>
    </w:p>
    <w:p>
      <w:pPr>
        <w:spacing w:line="560" w:lineRule="exact"/>
        <w:jc w:val="center"/>
        <w:rPr>
          <w:rFonts w:ascii="仿宋_GB2312" w:eastAsia="仿宋_GB2312"/>
          <w:spacing w:val="-6"/>
          <w:sz w:val="32"/>
          <w:szCs w:val="32"/>
        </w:rPr>
      </w:pPr>
      <w:r>
        <w:rPr>
          <w:rFonts w:hint="eastAsia" w:ascii="宋体" w:hAnsi="宋体"/>
          <w:b/>
          <w:spacing w:val="-6"/>
          <w:sz w:val="36"/>
          <w:szCs w:val="36"/>
        </w:rPr>
        <w:t xml:space="preserve">第二部分 </w:t>
      </w:r>
      <w:r>
        <w:rPr>
          <w:rFonts w:hint="eastAsia" w:ascii="宋体" w:hAnsi="宋体"/>
          <w:b/>
          <w:spacing w:val="-6"/>
          <w:sz w:val="36"/>
          <w:szCs w:val="36"/>
          <w:lang w:eastAsia="zh-CN"/>
        </w:rPr>
        <w:t>本溪市明山区人民检察院</w:t>
      </w:r>
      <w:r>
        <w:rPr>
          <w:rFonts w:hint="eastAsia" w:ascii="宋体" w:hAnsi="宋体"/>
          <w:b/>
          <w:spacing w:val="-6"/>
          <w:sz w:val="36"/>
          <w:szCs w:val="36"/>
        </w:rPr>
        <w:t>部门预算公开报表</w:t>
      </w:r>
    </w:p>
    <w:p>
      <w:pPr>
        <w:spacing w:line="560" w:lineRule="exact"/>
        <w:jc w:val="center"/>
        <w:rPr>
          <w:rFonts w:ascii="仿宋_GB2312" w:eastAsia="仿宋_GB2312"/>
          <w:b/>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numPr>
          <w:ilvl w:val="0"/>
          <w:numId w:val="2"/>
        </w:numPr>
        <w:spacing w:line="560" w:lineRule="exact"/>
        <w:jc w:val="both"/>
        <w:rPr>
          <w:rFonts w:hint="eastAsia" w:ascii="宋体" w:hAnsi="宋体"/>
          <w:b/>
          <w:sz w:val="36"/>
          <w:szCs w:val="36"/>
        </w:rPr>
      </w:pPr>
      <w:r>
        <w:rPr>
          <w:rFonts w:hint="eastAsia" w:ascii="宋体" w:hAnsi="宋体"/>
          <w:b/>
          <w:sz w:val="36"/>
          <w:szCs w:val="36"/>
          <w:lang w:eastAsia="zh-CN"/>
        </w:rPr>
        <w:t>本溪市明山区人民检察院</w:t>
      </w:r>
      <w:r>
        <w:rPr>
          <w:rFonts w:hint="eastAsia" w:ascii="宋体" w:hAnsi="宋体"/>
          <w:b/>
          <w:sz w:val="36"/>
          <w:szCs w:val="36"/>
        </w:rPr>
        <w:t>2018年部门预算</w:t>
      </w:r>
    </w:p>
    <w:p>
      <w:pPr>
        <w:numPr>
          <w:ilvl w:val="0"/>
          <w:numId w:val="0"/>
        </w:numPr>
        <w:spacing w:line="560" w:lineRule="exact"/>
        <w:jc w:val="center"/>
        <w:rPr>
          <w:rFonts w:ascii="宋体" w:hAnsi="宋体"/>
          <w:b/>
          <w:sz w:val="36"/>
          <w:szCs w:val="36"/>
        </w:rPr>
      </w:pPr>
      <w:r>
        <w:rPr>
          <w:rFonts w:hint="eastAsia" w:ascii="宋体" w:hAnsi="宋体"/>
          <w:b/>
          <w:sz w:val="36"/>
          <w:szCs w:val="36"/>
        </w:rPr>
        <w:t>情况说明</w:t>
      </w:r>
    </w:p>
    <w:p>
      <w:pPr>
        <w:spacing w:line="560" w:lineRule="exact"/>
        <w:jc w:val="center"/>
        <w:rPr>
          <w:rFonts w:ascii="宋体" w:hAnsi="宋体"/>
          <w:b/>
          <w:sz w:val="36"/>
          <w:szCs w:val="36"/>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一、收支预算的总体情况</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按照综合预算的原则，2018年</w:t>
      </w:r>
      <w:r>
        <w:rPr>
          <w:rFonts w:hint="eastAsia" w:ascii="仿宋_GB2312" w:hAnsi="宋体" w:eastAsia="仿宋_GB2312"/>
          <w:sz w:val="32"/>
          <w:szCs w:val="32"/>
          <w:lang w:eastAsia="zh-CN"/>
        </w:rPr>
        <w:t>明山区人民检察院</w:t>
      </w:r>
      <w:r>
        <w:rPr>
          <w:rFonts w:hint="eastAsia" w:ascii="仿宋_GB2312" w:hAnsi="宋体" w:eastAsia="仿宋_GB2312"/>
          <w:sz w:val="32"/>
          <w:szCs w:val="32"/>
        </w:rPr>
        <w:t>所有收入和支出均纳入部门预算管理。其中：</w:t>
      </w:r>
    </w:p>
    <w:p>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1418.8</w:t>
      </w:r>
      <w:r>
        <w:rPr>
          <w:rFonts w:hint="eastAsia" w:ascii="楷体" w:hAnsi="楷体" w:eastAsia="楷体"/>
          <w:b/>
          <w:sz w:val="32"/>
          <w:szCs w:val="32"/>
        </w:rPr>
        <w:t>万元，</w:t>
      </w:r>
      <w:r>
        <w:rPr>
          <w:rFonts w:hint="eastAsia" w:ascii="仿宋_GB2312" w:hAnsi="宋体" w:eastAsia="仿宋_GB2312"/>
          <w:sz w:val="32"/>
          <w:szCs w:val="32"/>
        </w:rPr>
        <w:t>包括：</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1354.8</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2.中央提前告知转移支付资金</w:t>
      </w:r>
      <w:r>
        <w:rPr>
          <w:rFonts w:hint="eastAsia" w:ascii="仿宋_GB2312" w:hAnsi="宋体" w:eastAsia="仿宋_GB2312"/>
          <w:sz w:val="32"/>
          <w:szCs w:val="32"/>
          <w:lang w:val="en-US" w:eastAsia="zh-CN"/>
        </w:rPr>
        <w:t>64</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3.纳入预算管理的行政事业性收费等非税收入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4.纳入政府性基金预算管理收入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5.纳入专户管理的行政事业性收费等非税收入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6.其他非税收入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38"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1418.8</w:t>
      </w:r>
      <w:r>
        <w:rPr>
          <w:rFonts w:hint="eastAsia" w:ascii="楷体" w:hAnsi="楷体" w:eastAsia="楷体"/>
          <w:b/>
          <w:sz w:val="32"/>
          <w:szCs w:val="32"/>
        </w:rPr>
        <w:t>万元，</w:t>
      </w:r>
      <w:r>
        <w:rPr>
          <w:rFonts w:hint="eastAsia" w:ascii="仿宋_GB2312" w:hAnsi="宋体" w:eastAsia="仿宋_GB2312"/>
          <w:sz w:val="32"/>
          <w:szCs w:val="32"/>
        </w:rPr>
        <w:t>包括：</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lang w:val="en-US" w:eastAsia="zh-CN"/>
        </w:rPr>
        <w:t>1126.8</w:t>
      </w:r>
      <w:r>
        <w:rPr>
          <w:rFonts w:hint="eastAsia" w:ascii="仿宋_GB2312" w:hAnsi="宋体" w:eastAsia="仿宋_GB2312"/>
          <w:sz w:val="32"/>
          <w:szCs w:val="32"/>
        </w:rPr>
        <w:t>万元</w:t>
      </w:r>
      <w:r>
        <w:rPr>
          <w:rFonts w:hint="eastAsia" w:ascii="仿宋_GB2312" w:eastAsia="仿宋_GB2312"/>
          <w:sz w:val="32"/>
          <w:szCs w:val="32"/>
        </w:rPr>
        <w:t>；</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eastAsia="仿宋_GB2312"/>
          <w:b w:val="0"/>
          <w:bCs/>
          <w:sz w:val="32"/>
          <w:szCs w:val="32"/>
          <w:lang w:val="en-US" w:eastAsia="zh-CN"/>
        </w:rPr>
        <w:t>292</w:t>
      </w:r>
      <w:r>
        <w:rPr>
          <w:rFonts w:hint="eastAsia" w:ascii="仿宋_GB2312" w:eastAsia="仿宋_GB2312"/>
          <w:sz w:val="32"/>
          <w:szCs w:val="32"/>
        </w:rPr>
        <w:t>万元。</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在支出预算</w:t>
      </w:r>
      <w:r>
        <w:rPr>
          <w:rFonts w:hint="eastAsia" w:ascii="仿宋_GB2312" w:hAnsi="宋体" w:eastAsia="仿宋_GB2312"/>
          <w:sz w:val="32"/>
          <w:szCs w:val="32"/>
          <w:lang w:val="en-US" w:eastAsia="zh-CN"/>
        </w:rPr>
        <w:t>1418.8</w:t>
      </w:r>
      <w:r>
        <w:rPr>
          <w:rFonts w:hint="eastAsia" w:ascii="仿宋_GB2312" w:eastAsia="仿宋_GB2312"/>
          <w:sz w:val="32"/>
          <w:szCs w:val="32"/>
        </w:rPr>
        <w:t>万元中，政府采购支出</w:t>
      </w:r>
      <w:r>
        <w:rPr>
          <w:rFonts w:hint="eastAsia" w:ascii="仿宋_GB2312" w:hAnsi="宋体" w:eastAsia="仿宋_GB2312"/>
          <w:sz w:val="32"/>
          <w:szCs w:val="32"/>
          <w:lang w:val="en-US" w:eastAsia="zh-CN"/>
        </w:rPr>
        <w:t>90</w:t>
      </w:r>
      <w:r>
        <w:rPr>
          <w:rFonts w:hint="eastAsia" w:ascii="仿宋_GB2312" w:eastAsia="仿宋_GB2312"/>
          <w:sz w:val="32"/>
          <w:szCs w:val="32"/>
        </w:rPr>
        <w:t>万元，债务支出</w:t>
      </w:r>
      <w:r>
        <w:rPr>
          <w:rFonts w:hint="eastAsia" w:ascii="仿宋_GB2312" w:hAnsi="宋体" w:eastAsia="仿宋_GB2312"/>
          <w:sz w:val="32"/>
          <w:szCs w:val="32"/>
          <w:lang w:val="en-US" w:eastAsia="zh-CN"/>
        </w:rPr>
        <w:t>0</w:t>
      </w:r>
      <w:r>
        <w:rPr>
          <w:rFonts w:hint="eastAsia" w:ascii="仿宋_GB2312" w:eastAsia="仿宋_GB2312"/>
          <w:sz w:val="32"/>
          <w:szCs w:val="32"/>
        </w:rPr>
        <w:t>万元，政府购买服务支出</w:t>
      </w:r>
      <w:r>
        <w:rPr>
          <w:rFonts w:hint="eastAsia" w:ascii="仿宋_GB2312" w:hAnsi="宋体" w:eastAsia="仿宋_GB2312"/>
          <w:sz w:val="32"/>
          <w:szCs w:val="32"/>
          <w:lang w:val="en-US" w:eastAsia="zh-CN"/>
        </w:rPr>
        <w:t>0</w:t>
      </w:r>
      <w:r>
        <w:rPr>
          <w:rFonts w:hint="eastAsia" w:ascii="仿宋_GB2312" w:eastAsia="仿宋_GB2312"/>
          <w:sz w:val="32"/>
          <w:szCs w:val="32"/>
        </w:rPr>
        <w:t>万元。</w:t>
      </w:r>
    </w:p>
    <w:p>
      <w:pPr>
        <w:spacing w:line="560" w:lineRule="exact"/>
        <w:ind w:firstLine="660"/>
        <w:rPr>
          <w:rFonts w:ascii="黑体" w:hAnsi="黑体" w:eastAsia="黑体"/>
          <w:sz w:val="32"/>
          <w:szCs w:val="32"/>
        </w:rPr>
      </w:pPr>
      <w:r>
        <w:rPr>
          <w:rFonts w:hint="eastAsia" w:ascii="黑体" w:hAnsi="黑体" w:eastAsia="黑体"/>
          <w:sz w:val="32"/>
          <w:szCs w:val="32"/>
        </w:rPr>
        <w:t>2018年预算收支比2017年</w:t>
      </w:r>
      <w:r>
        <w:rPr>
          <w:rFonts w:hint="eastAsia" w:ascii="黑体" w:hAnsi="黑体" w:eastAsia="黑体"/>
          <w:sz w:val="32"/>
          <w:szCs w:val="32"/>
          <w:lang w:val="en-US" w:eastAsia="zh-CN"/>
        </w:rPr>
        <w:t>1013.49万元</w:t>
      </w:r>
      <w:r>
        <w:rPr>
          <w:rFonts w:hint="eastAsia" w:ascii="黑体" w:hAnsi="黑体" w:eastAsia="黑体"/>
          <w:sz w:val="32"/>
          <w:szCs w:val="32"/>
        </w:rPr>
        <w:t>增加</w:t>
      </w:r>
      <w:r>
        <w:rPr>
          <w:rFonts w:hint="eastAsia" w:ascii="黑体" w:hAnsi="黑体" w:eastAsia="黑体"/>
          <w:sz w:val="32"/>
          <w:szCs w:val="32"/>
          <w:lang w:val="en-US" w:eastAsia="zh-CN"/>
        </w:rPr>
        <w:t>405.31</w:t>
      </w:r>
      <w:r>
        <w:rPr>
          <w:rFonts w:hint="eastAsia" w:ascii="黑体" w:hAnsi="黑体" w:eastAsia="黑体"/>
          <w:sz w:val="32"/>
          <w:szCs w:val="32"/>
        </w:rPr>
        <w:t>万元，增减变化的主要原因为</w:t>
      </w:r>
      <w:r>
        <w:rPr>
          <w:rFonts w:hint="eastAsia" w:ascii="黑体" w:hAnsi="黑体" w:eastAsia="黑体"/>
          <w:sz w:val="32"/>
          <w:szCs w:val="32"/>
          <w:lang w:val="en-US" w:eastAsia="zh-CN"/>
        </w:rPr>
        <w:t>2017年地方财政预算未列入中央及省转移支付资金96万元，另外本年度增加电子检务工程项目90万元，员额检察官工资制度改革也使人员经费预算大幅度增加，省统管后，日常运行经费尤其是办案经费保障充足，预算增加</w:t>
      </w:r>
      <w:r>
        <w:rPr>
          <w:rFonts w:hint="eastAsia" w:ascii="黑体" w:hAnsi="黑体" w:eastAsia="黑体"/>
          <w:sz w:val="32"/>
          <w:szCs w:val="32"/>
        </w:rPr>
        <w:t>。</w:t>
      </w:r>
    </w:p>
    <w:p>
      <w:pPr>
        <w:spacing w:line="560" w:lineRule="exact"/>
        <w:ind w:firstLine="645"/>
        <w:rPr>
          <w:rFonts w:ascii="黑体" w:hAnsi="宋体" w:eastAsia="黑体"/>
          <w:sz w:val="32"/>
          <w:szCs w:val="32"/>
        </w:rPr>
      </w:pPr>
      <w:r>
        <w:rPr>
          <w:rFonts w:hint="eastAsia" w:ascii="黑体" w:hAnsi="宋体" w:eastAsia="黑体"/>
          <w:sz w:val="32"/>
          <w:szCs w:val="32"/>
        </w:rPr>
        <w:t>二、机关运行经费安排情况</w:t>
      </w:r>
    </w:p>
    <w:p>
      <w:pPr>
        <w:spacing w:line="560" w:lineRule="exact"/>
        <w:ind w:firstLine="640" w:firstLineChars="200"/>
        <w:jc w:val="left"/>
        <w:rPr>
          <w:rFonts w:ascii="仿宋_GB2312" w:eastAsia="仿宋_GB2312"/>
          <w:b/>
          <w:sz w:val="32"/>
          <w:szCs w:val="32"/>
        </w:rPr>
      </w:pPr>
      <w:r>
        <w:rPr>
          <w:rFonts w:hint="eastAsia" w:ascii="仿宋_GB2312" w:hAnsi="宋体" w:eastAsia="仿宋_GB2312"/>
          <w:sz w:val="32"/>
          <w:szCs w:val="32"/>
        </w:rPr>
        <w:t>2018年</w:t>
      </w:r>
      <w:r>
        <w:rPr>
          <w:rFonts w:hint="eastAsia" w:ascii="仿宋_GB2312" w:hAnsi="宋体" w:eastAsia="仿宋_GB2312"/>
          <w:sz w:val="32"/>
          <w:szCs w:val="32"/>
          <w:lang w:eastAsia="zh-CN"/>
        </w:rPr>
        <w:t>明山区人民检察院</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329.1</w:t>
      </w:r>
      <w:r>
        <w:rPr>
          <w:rFonts w:hint="eastAsia" w:ascii="仿宋_GB2312" w:hAnsi="宋体" w:eastAsia="仿宋_GB2312"/>
          <w:sz w:val="32"/>
          <w:szCs w:val="32"/>
        </w:rPr>
        <w:t>万元，主要包括</w:t>
      </w:r>
      <w:r>
        <w:rPr>
          <w:rFonts w:hint="eastAsia" w:ascii="仿宋_GB2312" w:eastAsia="仿宋_GB2312"/>
          <w:sz w:val="32"/>
          <w:szCs w:val="32"/>
        </w:rPr>
        <w:t>办公费</w:t>
      </w:r>
      <w:r>
        <w:rPr>
          <w:rFonts w:hint="eastAsia" w:ascii="仿宋_GB2312" w:eastAsia="仿宋_GB2312"/>
          <w:sz w:val="32"/>
          <w:szCs w:val="32"/>
          <w:lang w:val="en-US" w:eastAsia="zh-CN"/>
        </w:rPr>
        <w:t>20万元</w:t>
      </w:r>
      <w:r>
        <w:rPr>
          <w:rFonts w:hint="eastAsia" w:ascii="仿宋_GB2312" w:eastAsia="仿宋_GB2312"/>
          <w:sz w:val="32"/>
          <w:szCs w:val="32"/>
        </w:rPr>
        <w:t>、</w:t>
      </w:r>
      <w:r>
        <w:rPr>
          <w:rFonts w:hint="eastAsia" w:ascii="仿宋_GB2312" w:eastAsia="仿宋_GB2312"/>
          <w:sz w:val="32"/>
          <w:szCs w:val="32"/>
          <w:lang w:eastAsia="zh-CN"/>
        </w:rPr>
        <w:t>手续</w:t>
      </w:r>
      <w:r>
        <w:rPr>
          <w:rFonts w:hint="eastAsia" w:ascii="仿宋_GB2312" w:eastAsia="仿宋_GB2312"/>
          <w:sz w:val="32"/>
          <w:szCs w:val="32"/>
        </w:rPr>
        <w:t>费</w:t>
      </w:r>
      <w:r>
        <w:rPr>
          <w:rFonts w:hint="eastAsia" w:ascii="仿宋_GB2312" w:eastAsia="仿宋_GB2312"/>
          <w:sz w:val="32"/>
          <w:szCs w:val="32"/>
          <w:lang w:val="en-US" w:eastAsia="zh-CN"/>
        </w:rPr>
        <w:t>0.2万元</w:t>
      </w:r>
      <w:r>
        <w:rPr>
          <w:rFonts w:hint="eastAsia" w:ascii="仿宋_GB2312" w:eastAsia="仿宋_GB2312"/>
          <w:sz w:val="32"/>
          <w:szCs w:val="32"/>
        </w:rPr>
        <w:t>、</w:t>
      </w:r>
      <w:r>
        <w:rPr>
          <w:rFonts w:hint="eastAsia" w:ascii="仿宋_GB2312" w:eastAsia="仿宋_GB2312"/>
          <w:sz w:val="32"/>
          <w:szCs w:val="32"/>
          <w:lang w:eastAsia="zh-CN"/>
        </w:rPr>
        <w:t>办公用房水费</w:t>
      </w:r>
      <w:r>
        <w:rPr>
          <w:rFonts w:hint="eastAsia" w:ascii="仿宋_GB2312" w:eastAsia="仿宋_GB2312"/>
          <w:sz w:val="32"/>
          <w:szCs w:val="32"/>
          <w:lang w:val="en-US" w:eastAsia="zh-CN"/>
        </w:rPr>
        <w:t>6万元、</w:t>
      </w:r>
      <w:r>
        <w:rPr>
          <w:rFonts w:hint="eastAsia" w:ascii="仿宋_GB2312" w:eastAsia="仿宋_GB2312"/>
          <w:sz w:val="32"/>
          <w:szCs w:val="32"/>
          <w:lang w:eastAsia="zh-CN"/>
        </w:rPr>
        <w:t>办公用房</w:t>
      </w:r>
      <w:r>
        <w:rPr>
          <w:rFonts w:hint="eastAsia" w:ascii="仿宋_GB2312" w:eastAsia="仿宋_GB2312"/>
          <w:sz w:val="32"/>
          <w:szCs w:val="32"/>
          <w:lang w:val="en-US" w:eastAsia="zh-CN"/>
        </w:rPr>
        <w:t>电费25万元、取暖费56.7万元、物业管理费1.2万元、维修维护费5万元、机关运行所需劳务派遣人员劳务费120.8万元、工会经费5.5万元、</w:t>
      </w:r>
      <w:r>
        <w:rPr>
          <w:rFonts w:hint="eastAsia" w:ascii="仿宋_GB2312" w:eastAsia="仿宋_GB2312"/>
          <w:sz w:val="32"/>
          <w:szCs w:val="32"/>
        </w:rPr>
        <w:t>办公用车运行维护费</w:t>
      </w:r>
      <w:r>
        <w:rPr>
          <w:rFonts w:hint="eastAsia" w:ascii="仿宋_GB2312" w:eastAsia="仿宋_GB2312"/>
          <w:sz w:val="32"/>
          <w:szCs w:val="32"/>
          <w:lang w:val="en-US" w:eastAsia="zh-CN"/>
        </w:rPr>
        <w:t>4.5万元、其他交通费用42.2万元</w:t>
      </w:r>
      <w:r>
        <w:rPr>
          <w:rFonts w:hint="eastAsia" w:ascii="仿宋_GB2312" w:eastAsia="仿宋_GB2312"/>
          <w:sz w:val="32"/>
          <w:szCs w:val="32"/>
        </w:rPr>
        <w:t>以及其他费用</w:t>
      </w:r>
      <w:r>
        <w:rPr>
          <w:rFonts w:hint="eastAsia" w:ascii="仿宋_GB2312" w:eastAsia="仿宋_GB2312"/>
          <w:sz w:val="32"/>
          <w:szCs w:val="32"/>
          <w:lang w:val="en-US" w:eastAsia="zh-CN"/>
        </w:rPr>
        <w:t>42万元</w:t>
      </w:r>
      <w:r>
        <w:rPr>
          <w:rFonts w:hint="eastAsia" w:ascii="仿宋_GB2312"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三、政府采购情况</w:t>
      </w:r>
    </w:p>
    <w:p>
      <w:pPr>
        <w:spacing w:line="560" w:lineRule="exact"/>
        <w:ind w:firstLine="640" w:firstLineChars="200"/>
        <w:rPr>
          <w:szCs w:val="21"/>
        </w:rPr>
      </w:pPr>
      <w:r>
        <w:rPr>
          <w:rFonts w:hint="eastAsia" w:ascii="仿宋_GB2312" w:eastAsia="仿宋_GB2312"/>
          <w:sz w:val="32"/>
          <w:szCs w:val="32"/>
        </w:rPr>
        <w:t>2018年</w:t>
      </w:r>
      <w:r>
        <w:rPr>
          <w:rFonts w:hint="eastAsia" w:ascii="仿宋_GB2312" w:eastAsia="仿宋_GB2312"/>
          <w:sz w:val="32"/>
          <w:szCs w:val="32"/>
          <w:lang w:eastAsia="zh-CN"/>
        </w:rPr>
        <w:t>明山区人民检察院</w:t>
      </w:r>
      <w:r>
        <w:rPr>
          <w:rFonts w:hint="eastAsia" w:ascii="仿宋_GB2312" w:eastAsia="仿宋_GB2312"/>
          <w:sz w:val="32"/>
          <w:szCs w:val="32"/>
        </w:rPr>
        <w:t>安排政府采购预算</w:t>
      </w:r>
      <w:r>
        <w:rPr>
          <w:rFonts w:hint="eastAsia" w:ascii="仿宋_GB2312" w:eastAsia="仿宋_GB2312"/>
          <w:sz w:val="32"/>
          <w:szCs w:val="32"/>
          <w:lang w:val="en-US" w:eastAsia="zh-CN"/>
        </w:rPr>
        <w:t>90</w:t>
      </w:r>
      <w:r>
        <w:rPr>
          <w:rFonts w:hint="eastAsia" w:ascii="仿宋_GB2312" w:eastAsia="仿宋_GB2312"/>
          <w:sz w:val="32"/>
          <w:szCs w:val="32"/>
        </w:rPr>
        <w:t>万元，其中货物</w:t>
      </w:r>
      <w:r>
        <w:rPr>
          <w:rFonts w:hint="eastAsia" w:ascii="仿宋_GB2312" w:eastAsia="仿宋_GB2312"/>
          <w:sz w:val="32"/>
          <w:szCs w:val="32"/>
          <w:lang w:val="en-US" w:eastAsia="zh-CN"/>
        </w:rPr>
        <w:t>90</w:t>
      </w:r>
      <w:r>
        <w:rPr>
          <w:rFonts w:hint="eastAsia" w:ascii="仿宋_GB2312" w:eastAsia="仿宋_GB2312"/>
          <w:sz w:val="32"/>
          <w:szCs w:val="32"/>
        </w:rPr>
        <w:t>万元，服务</w:t>
      </w:r>
      <w:r>
        <w:rPr>
          <w:rFonts w:hint="eastAsia" w:ascii="仿宋_GB2312" w:eastAsia="仿宋_GB2312"/>
          <w:sz w:val="32"/>
          <w:szCs w:val="32"/>
          <w:lang w:val="en-US" w:eastAsia="zh-CN"/>
        </w:rPr>
        <w:t>0</w:t>
      </w:r>
      <w:r>
        <w:rPr>
          <w:rFonts w:hint="eastAsia" w:ascii="仿宋_GB2312" w:eastAsia="仿宋_GB2312"/>
          <w:sz w:val="32"/>
          <w:szCs w:val="32"/>
        </w:rPr>
        <w:t>万元，工程</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rPr>
        <w:t>2018年，</w:t>
      </w:r>
      <w:r>
        <w:rPr>
          <w:rFonts w:hint="eastAsia" w:ascii="仿宋_GB2312" w:eastAsia="仿宋_GB2312"/>
          <w:sz w:val="32"/>
          <w:szCs w:val="32"/>
          <w:lang w:eastAsia="zh-CN"/>
        </w:rPr>
        <w:t>明山区人民检察院</w:t>
      </w:r>
      <w:r>
        <w:rPr>
          <w:rFonts w:hint="eastAsia" w:ascii="仿宋_GB2312" w:eastAsia="仿宋_GB2312"/>
          <w:sz w:val="32"/>
          <w:szCs w:val="32"/>
        </w:rPr>
        <w:t>财政拨款安排的“三公”经费预算为</w:t>
      </w:r>
      <w:r>
        <w:rPr>
          <w:rFonts w:hint="eastAsia" w:ascii="仿宋_GB2312" w:eastAsia="仿宋_GB2312"/>
          <w:sz w:val="32"/>
          <w:szCs w:val="32"/>
          <w:lang w:val="en-US" w:eastAsia="zh-CN"/>
        </w:rPr>
        <w:t>14.5</w:t>
      </w:r>
      <w:r>
        <w:rPr>
          <w:rFonts w:hint="eastAsia" w:ascii="仿宋_GB2312" w:eastAsia="仿宋_GB2312"/>
          <w:sz w:val="32"/>
          <w:szCs w:val="32"/>
        </w:rPr>
        <w:t>万元，比2017年</w:t>
      </w:r>
      <w:r>
        <w:rPr>
          <w:rFonts w:hint="eastAsia" w:ascii="仿宋_GB2312" w:eastAsia="仿宋_GB2312"/>
          <w:sz w:val="32"/>
          <w:szCs w:val="32"/>
          <w:lang w:val="en-US" w:eastAsia="zh-CN"/>
        </w:rPr>
        <w:t>19.8万元</w:t>
      </w:r>
      <w:r>
        <w:rPr>
          <w:rFonts w:hint="eastAsia" w:ascii="仿宋_GB2312" w:eastAsia="仿宋_GB2312"/>
          <w:sz w:val="32"/>
          <w:szCs w:val="32"/>
        </w:rPr>
        <w:t>减少</w:t>
      </w:r>
      <w:r>
        <w:rPr>
          <w:rFonts w:hint="eastAsia" w:ascii="仿宋_GB2312" w:eastAsia="仿宋_GB2312"/>
          <w:sz w:val="32"/>
          <w:szCs w:val="32"/>
          <w:lang w:val="en-US" w:eastAsia="zh-CN"/>
        </w:rPr>
        <w:t>5.3</w:t>
      </w:r>
      <w:r>
        <w:rPr>
          <w:rFonts w:hint="eastAsia" w:ascii="仿宋_GB2312" w:eastAsia="仿宋_GB2312"/>
          <w:sz w:val="32"/>
          <w:szCs w:val="32"/>
        </w:rPr>
        <w:t>万元，下降</w:t>
      </w:r>
      <w:r>
        <w:rPr>
          <w:rFonts w:hint="eastAsia" w:ascii="仿宋_GB2312" w:eastAsia="仿宋_GB2312"/>
          <w:sz w:val="32"/>
          <w:szCs w:val="32"/>
          <w:lang w:val="en-US" w:eastAsia="zh-CN"/>
        </w:rPr>
        <w:t>26</w:t>
      </w:r>
      <w:r>
        <w:rPr>
          <w:rFonts w:hint="eastAsia" w:ascii="仿宋_GB2312" w:eastAsia="仿宋_GB2312"/>
          <w:sz w:val="32"/>
          <w:szCs w:val="32"/>
        </w:rPr>
        <w:t>%。其中：</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2017年</w:t>
      </w:r>
      <w:r>
        <w:rPr>
          <w:rFonts w:hint="eastAsia" w:ascii="仿宋_GB2312" w:eastAsia="仿宋_GB2312"/>
          <w:sz w:val="32"/>
          <w:szCs w:val="32"/>
          <w:lang w:eastAsia="zh-CN"/>
        </w:rPr>
        <w:t>保持一致，无因公出国（境）预算安排。</w:t>
      </w:r>
    </w:p>
    <w:p>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2017年</w:t>
      </w:r>
      <w:r>
        <w:rPr>
          <w:rFonts w:hint="eastAsia" w:ascii="仿宋_GB2312" w:eastAsia="仿宋_GB2312"/>
          <w:sz w:val="32"/>
          <w:szCs w:val="32"/>
          <w:lang w:eastAsia="zh-CN"/>
        </w:rPr>
        <w:t>保持一致，无公务接待预算安排。</w:t>
      </w:r>
    </w:p>
    <w:p>
      <w:pPr>
        <w:spacing w:line="560" w:lineRule="exact"/>
        <w:ind w:firstLine="660"/>
        <w:rPr>
          <w:rFonts w:hint="eastAsia"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2017年</w:t>
      </w:r>
      <w:r>
        <w:rPr>
          <w:rFonts w:hint="eastAsia" w:ascii="仿宋_GB2312" w:eastAsia="仿宋_GB2312"/>
          <w:sz w:val="32"/>
          <w:szCs w:val="32"/>
          <w:lang w:eastAsia="zh-CN"/>
        </w:rPr>
        <w:t>保持一致</w:t>
      </w:r>
      <w:r>
        <w:rPr>
          <w:rFonts w:hint="eastAsia" w:ascii="仿宋_GB2312" w:eastAsia="仿宋_GB2312"/>
          <w:sz w:val="32"/>
          <w:szCs w:val="32"/>
        </w:rPr>
        <w:t>；公务用车运行费</w:t>
      </w:r>
      <w:r>
        <w:rPr>
          <w:rFonts w:hint="eastAsia" w:ascii="仿宋_GB2312" w:eastAsia="仿宋_GB2312"/>
          <w:sz w:val="32"/>
          <w:szCs w:val="32"/>
          <w:lang w:val="en-US" w:eastAsia="zh-CN"/>
        </w:rPr>
        <w:t>14.5</w:t>
      </w:r>
      <w:r>
        <w:rPr>
          <w:rFonts w:hint="eastAsia" w:ascii="仿宋_GB2312" w:eastAsia="仿宋_GB2312"/>
          <w:sz w:val="32"/>
          <w:szCs w:val="32"/>
        </w:rPr>
        <w:t>万元，比2017年减少</w:t>
      </w:r>
      <w:r>
        <w:rPr>
          <w:rFonts w:hint="eastAsia" w:ascii="仿宋_GB2312" w:eastAsia="仿宋_GB2312"/>
          <w:sz w:val="32"/>
          <w:szCs w:val="32"/>
          <w:lang w:val="en-US" w:eastAsia="zh-CN"/>
        </w:rPr>
        <w:t>5.3</w:t>
      </w:r>
      <w:r>
        <w:rPr>
          <w:rFonts w:hint="eastAsia" w:ascii="仿宋_GB2312" w:eastAsia="仿宋_GB2312"/>
          <w:sz w:val="32"/>
          <w:szCs w:val="32"/>
        </w:rPr>
        <w:t>万元，下降</w:t>
      </w:r>
      <w:r>
        <w:rPr>
          <w:rFonts w:hint="eastAsia" w:ascii="仿宋_GB2312" w:eastAsia="仿宋_GB2312"/>
          <w:sz w:val="32"/>
          <w:szCs w:val="32"/>
          <w:lang w:val="en-US" w:eastAsia="zh-CN"/>
        </w:rPr>
        <w:t>26</w:t>
      </w:r>
      <w:r>
        <w:rPr>
          <w:rFonts w:hint="eastAsia" w:ascii="仿宋_GB2312" w:eastAsia="仿宋_GB2312"/>
          <w:sz w:val="32"/>
          <w:szCs w:val="32"/>
        </w:rPr>
        <w:t>%）。主要原因是</w:t>
      </w:r>
      <w:r>
        <w:rPr>
          <w:rFonts w:hint="eastAsia" w:ascii="仿宋_GB2312" w:eastAsia="仿宋_GB2312"/>
          <w:sz w:val="32"/>
          <w:szCs w:val="32"/>
          <w:lang w:eastAsia="zh-CN"/>
        </w:rPr>
        <w:t>车辆减少，相应运行维护费用减少</w:t>
      </w:r>
      <w:bookmarkStart w:id="1" w:name="_GoBack"/>
      <w:bookmarkEnd w:id="1"/>
      <w:r>
        <w:rPr>
          <w:rFonts w:hint="eastAsia" w:ascii="仿宋_GB2312" w:eastAsia="仿宋_GB2312"/>
          <w:sz w:val="32"/>
          <w:szCs w:val="32"/>
        </w:rPr>
        <w:t>。</w:t>
      </w:r>
    </w:p>
    <w:p>
      <w:pPr>
        <w:spacing w:line="560" w:lineRule="exact"/>
        <w:ind w:firstLine="660"/>
        <w:rPr>
          <w:rFonts w:hint="eastAsia" w:ascii="仿宋_GB2312" w:eastAsia="仿宋_GB2312"/>
          <w:sz w:val="32"/>
          <w:szCs w:val="32"/>
        </w:rPr>
      </w:pPr>
    </w:p>
    <w:tbl>
      <w:tblPr>
        <w:tblStyle w:val="10"/>
        <w:tblW w:w="8835" w:type="dxa"/>
        <w:tblInd w:w="93" w:type="dxa"/>
        <w:tblLayout w:type="fixed"/>
        <w:tblCellMar>
          <w:top w:w="15" w:type="dxa"/>
          <w:left w:w="108" w:type="dxa"/>
          <w:bottom w:w="15" w:type="dxa"/>
          <w:right w:w="108" w:type="dxa"/>
        </w:tblCellMar>
      </w:tblPr>
      <w:tblGrid>
        <w:gridCol w:w="3423"/>
        <w:gridCol w:w="2026"/>
        <w:gridCol w:w="3386"/>
      </w:tblGrid>
      <w:tr>
        <w:tblPrEx>
          <w:tblLayout w:type="fixed"/>
          <w:tblCellMar>
            <w:top w:w="15" w:type="dxa"/>
            <w:left w:w="108" w:type="dxa"/>
            <w:bottom w:w="15" w:type="dxa"/>
            <w:right w:w="108" w:type="dxa"/>
          </w:tblCellMar>
        </w:tblPrEx>
        <w:trPr>
          <w:trHeight w:val="570" w:hRule="atLeast"/>
        </w:trPr>
        <w:tc>
          <w:tcPr>
            <w:tcW w:w="8835" w:type="dxa"/>
            <w:gridSpan w:val="3"/>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2018年</w:t>
            </w:r>
            <w:r>
              <w:rPr>
                <w:rFonts w:hint="eastAsia" w:ascii="宋体" w:hAnsi="宋体" w:cs="宋体"/>
                <w:b/>
                <w:bCs/>
                <w:color w:val="000000"/>
                <w:kern w:val="0"/>
                <w:sz w:val="30"/>
                <w:szCs w:val="30"/>
                <w:lang w:eastAsia="zh-CN"/>
              </w:rPr>
              <w:t>明山区人民检察院</w:t>
            </w:r>
            <w:r>
              <w:rPr>
                <w:rFonts w:hint="eastAsia" w:ascii="宋体" w:hAnsi="宋体" w:cs="宋体"/>
                <w:b/>
                <w:bCs/>
                <w:color w:val="000000"/>
                <w:kern w:val="0"/>
                <w:sz w:val="30"/>
                <w:szCs w:val="30"/>
              </w:rPr>
              <w:t>“三公”经费预算表</w:t>
            </w:r>
          </w:p>
        </w:tc>
      </w:tr>
      <w:tr>
        <w:tblPrEx>
          <w:tblLayout w:type="fixed"/>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Layout w:type="fixed"/>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2017年</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2018年</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19.8</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14.5</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19.8</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14.5</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19.8</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14.5</w:t>
            </w:r>
          </w:p>
        </w:tc>
      </w:tr>
    </w:tbl>
    <w:p>
      <w:pPr>
        <w:spacing w:line="560" w:lineRule="exact"/>
        <w:ind w:firstLine="640" w:firstLineChars="200"/>
        <w:rPr>
          <w:rFonts w:ascii="仿宋_GB2312" w:hAnsi="宋体" w:eastAsia="仿宋_GB2312"/>
          <w:sz w:val="32"/>
          <w:szCs w:val="32"/>
        </w:rPr>
      </w:pPr>
      <w:r>
        <w:rPr>
          <w:rFonts w:hint="eastAsia" w:ascii="黑体" w:hAnsi="黑体" w:eastAsia="黑体"/>
          <w:sz w:val="32"/>
          <w:szCs w:val="32"/>
        </w:rPr>
        <w:t>五、国有资产占用情况</w:t>
      </w:r>
    </w:p>
    <w:p>
      <w:pPr>
        <w:spacing w:line="560" w:lineRule="exact"/>
        <w:rPr>
          <w:rFonts w:ascii="仿宋_GB2312" w:hAnsi="宋体" w:eastAsia="仿宋_GB2312"/>
          <w:sz w:val="32"/>
          <w:szCs w:val="32"/>
        </w:rPr>
      </w:pPr>
      <w:r>
        <w:rPr>
          <w:rFonts w:hint="eastAsia" w:ascii="仿宋" w:hAnsi="仿宋" w:eastAsia="仿宋"/>
          <w:b/>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明山区人民检察院</w:t>
      </w:r>
      <w:r>
        <w:rPr>
          <w:rFonts w:hint="eastAsia" w:ascii="仿宋_GB2312" w:hAnsi="宋体" w:eastAsia="仿宋_GB2312"/>
          <w:sz w:val="32"/>
          <w:szCs w:val="32"/>
        </w:rPr>
        <w:t>2018年年初预算购置车辆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六、项目预算绩效目标情况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明山区人民检察院</w:t>
      </w:r>
      <w:r>
        <w:rPr>
          <w:rFonts w:hint="eastAsia" w:ascii="仿宋_GB2312" w:hAnsi="宋体" w:eastAsia="仿宋_GB2312"/>
          <w:sz w:val="32"/>
          <w:szCs w:val="32"/>
        </w:rPr>
        <w:t>2018年应编制绩效目标的项目共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个，实际编制绩效目标的项目共</w:t>
      </w:r>
      <w:r>
        <w:rPr>
          <w:rFonts w:hint="eastAsia" w:ascii="仿宋_GB2312" w:hAnsi="宋体" w:eastAsia="仿宋_GB2312"/>
          <w:sz w:val="32"/>
          <w:szCs w:val="32"/>
          <w:lang w:val="en-US" w:eastAsia="zh-CN"/>
        </w:rPr>
        <w:t>3</w:t>
      </w:r>
      <w:r>
        <w:rPr>
          <w:rFonts w:hint="eastAsia" w:ascii="仿宋_GB2312" w:hAnsi="宋体" w:eastAsia="仿宋_GB2312"/>
          <w:sz w:val="32"/>
          <w:szCs w:val="32"/>
        </w:rPr>
        <w:t xml:space="preserve">         个，涉及资金</w:t>
      </w:r>
      <w:r>
        <w:rPr>
          <w:rFonts w:hint="eastAsia" w:ascii="仿宋_GB2312" w:hAnsi="宋体" w:eastAsia="仿宋_GB2312"/>
          <w:sz w:val="32"/>
          <w:szCs w:val="32"/>
          <w:lang w:val="en-US" w:eastAsia="zh-CN"/>
        </w:rPr>
        <w:t>292</w:t>
      </w:r>
      <w:r>
        <w:rPr>
          <w:rFonts w:hint="eastAsia" w:ascii="仿宋_GB2312" w:hAnsi="宋体" w:eastAsia="仿宋_GB2312"/>
          <w:sz w:val="32"/>
          <w:szCs w:val="32"/>
        </w:rPr>
        <w:t>万元，编制绩效目标的项目覆盖率（实际编制绩效目标的项目/应编制绩效目标的项目）为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60" w:lineRule="exact"/>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spacing w:line="560" w:lineRule="exact"/>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9.</w:t>
      </w:r>
      <w:r>
        <w:rPr>
          <w:rFonts w:hint="eastAsia" w:ascii="仿宋_GB2312" w:eastAsia="仿宋_GB2312"/>
          <w:b/>
          <w:sz w:val="32"/>
          <w:szCs w:val="32"/>
          <w:lang w:eastAsia="zh-CN"/>
        </w:rPr>
        <w:t>公共安全</w:t>
      </w:r>
      <w:r>
        <w:rPr>
          <w:rFonts w:hint="eastAsia" w:ascii="仿宋_GB2312" w:eastAsia="仿宋_GB2312"/>
          <w:b/>
          <w:sz w:val="32"/>
          <w:szCs w:val="32"/>
        </w:rPr>
        <w:t>（类）</w:t>
      </w:r>
      <w:r>
        <w:rPr>
          <w:rFonts w:hint="eastAsia" w:ascii="仿宋_GB2312" w:eastAsia="仿宋_GB2312"/>
          <w:b/>
          <w:sz w:val="32"/>
          <w:szCs w:val="32"/>
          <w:lang w:eastAsia="zh-CN"/>
        </w:rPr>
        <w:t>检察</w:t>
      </w:r>
      <w:r>
        <w:rPr>
          <w:rFonts w:hint="eastAsia" w:ascii="仿宋_GB2312" w:eastAsia="仿宋_GB2312"/>
          <w:b/>
          <w:sz w:val="32"/>
          <w:szCs w:val="32"/>
        </w:rPr>
        <w:t>（款）行政运行（项）：</w:t>
      </w:r>
      <w:r>
        <w:rPr>
          <w:rFonts w:hint="eastAsia" w:ascii="仿宋_GB2312" w:eastAsia="仿宋_GB2312"/>
          <w:sz w:val="32"/>
          <w:szCs w:val="32"/>
        </w:rPr>
        <w:t>反映行政单位（包括实行公务员管理的事业单位）的基本支出。</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10.</w:t>
      </w:r>
      <w:r>
        <w:rPr>
          <w:rFonts w:hint="eastAsia" w:ascii="仿宋_GB2312" w:eastAsia="仿宋_GB2312"/>
          <w:b/>
          <w:sz w:val="32"/>
          <w:szCs w:val="32"/>
          <w:lang w:eastAsia="zh-CN"/>
        </w:rPr>
        <w:t>公共安全</w:t>
      </w:r>
      <w:r>
        <w:rPr>
          <w:rFonts w:hint="eastAsia" w:ascii="仿宋_GB2312" w:eastAsia="仿宋_GB2312"/>
          <w:b/>
          <w:sz w:val="32"/>
          <w:szCs w:val="32"/>
        </w:rPr>
        <w:t>（类）</w:t>
      </w:r>
      <w:r>
        <w:rPr>
          <w:rFonts w:hint="eastAsia" w:ascii="仿宋_GB2312" w:eastAsia="仿宋_GB2312"/>
          <w:b/>
          <w:sz w:val="32"/>
          <w:szCs w:val="32"/>
          <w:lang w:eastAsia="zh-CN"/>
        </w:rPr>
        <w:t>检察</w:t>
      </w:r>
      <w:r>
        <w:rPr>
          <w:rFonts w:hint="eastAsia" w:ascii="仿宋_GB2312" w:eastAsia="仿宋_GB2312"/>
          <w:b/>
          <w:sz w:val="32"/>
          <w:szCs w:val="32"/>
        </w:rPr>
        <w:t>（款）一般行政管理事务（项）：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.医疗卫生与计划生育（类）医疗保障（款）行政单位医疗（项）：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00022FF" w:usb1="C000205B" w:usb2="00000009" w:usb3="00000000" w:csb0="200001DF" w:csb1="2008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171"/>
    <w:multiLevelType w:val="multilevel"/>
    <w:tmpl w:val="17944171"/>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8F764F"/>
    <w:multiLevelType w:val="singleLevel"/>
    <w:tmpl w:val="5A8F764F"/>
    <w:lvl w:ilvl="0" w:tentative="0">
      <w:start w:val="3"/>
      <w:numFmt w:val="chineseCounting"/>
      <w:suff w:val="space"/>
      <w:lvlText w:val="第%1部分"/>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22421"/>
    <w:rsid w:val="00024EC7"/>
    <w:rsid w:val="0002546B"/>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1100B7"/>
    <w:rsid w:val="001332DE"/>
    <w:rsid w:val="0013380C"/>
    <w:rsid w:val="00134FAF"/>
    <w:rsid w:val="001364E5"/>
    <w:rsid w:val="0013683A"/>
    <w:rsid w:val="001441A4"/>
    <w:rsid w:val="00156A4A"/>
    <w:rsid w:val="0016412F"/>
    <w:rsid w:val="001656BE"/>
    <w:rsid w:val="00175D02"/>
    <w:rsid w:val="001846A6"/>
    <w:rsid w:val="001A415E"/>
    <w:rsid w:val="001A4640"/>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3284"/>
    <w:rsid w:val="0022540A"/>
    <w:rsid w:val="00227F7C"/>
    <w:rsid w:val="002335DF"/>
    <w:rsid w:val="00245461"/>
    <w:rsid w:val="00246231"/>
    <w:rsid w:val="0026131E"/>
    <w:rsid w:val="00264E0A"/>
    <w:rsid w:val="002859E0"/>
    <w:rsid w:val="002A22FD"/>
    <w:rsid w:val="002C1A77"/>
    <w:rsid w:val="002C210E"/>
    <w:rsid w:val="002E3F3E"/>
    <w:rsid w:val="002F7837"/>
    <w:rsid w:val="00303749"/>
    <w:rsid w:val="003110BE"/>
    <w:rsid w:val="00313B70"/>
    <w:rsid w:val="00314ECD"/>
    <w:rsid w:val="00321418"/>
    <w:rsid w:val="00331390"/>
    <w:rsid w:val="00340F06"/>
    <w:rsid w:val="00344947"/>
    <w:rsid w:val="00344F39"/>
    <w:rsid w:val="00353C5E"/>
    <w:rsid w:val="003630B0"/>
    <w:rsid w:val="0036408C"/>
    <w:rsid w:val="00365D58"/>
    <w:rsid w:val="003664F3"/>
    <w:rsid w:val="00367798"/>
    <w:rsid w:val="003858E5"/>
    <w:rsid w:val="00391EA2"/>
    <w:rsid w:val="003A0063"/>
    <w:rsid w:val="003A04EC"/>
    <w:rsid w:val="003A4F29"/>
    <w:rsid w:val="003E0DAF"/>
    <w:rsid w:val="003E4A52"/>
    <w:rsid w:val="003E694A"/>
    <w:rsid w:val="003F6E5B"/>
    <w:rsid w:val="00414072"/>
    <w:rsid w:val="004152DB"/>
    <w:rsid w:val="0042230F"/>
    <w:rsid w:val="004265C6"/>
    <w:rsid w:val="00426B4B"/>
    <w:rsid w:val="00437E10"/>
    <w:rsid w:val="0044636A"/>
    <w:rsid w:val="00476F8F"/>
    <w:rsid w:val="00486679"/>
    <w:rsid w:val="00493F18"/>
    <w:rsid w:val="004943FF"/>
    <w:rsid w:val="00495584"/>
    <w:rsid w:val="004A4FDC"/>
    <w:rsid w:val="004B143F"/>
    <w:rsid w:val="004C0904"/>
    <w:rsid w:val="004C4DE5"/>
    <w:rsid w:val="004D2F79"/>
    <w:rsid w:val="004D584E"/>
    <w:rsid w:val="004D7A05"/>
    <w:rsid w:val="004E0C11"/>
    <w:rsid w:val="004E78BE"/>
    <w:rsid w:val="004F0520"/>
    <w:rsid w:val="004F4D7E"/>
    <w:rsid w:val="004F5303"/>
    <w:rsid w:val="00510447"/>
    <w:rsid w:val="005127EF"/>
    <w:rsid w:val="00512D17"/>
    <w:rsid w:val="00515B98"/>
    <w:rsid w:val="00532926"/>
    <w:rsid w:val="005460BF"/>
    <w:rsid w:val="00550F83"/>
    <w:rsid w:val="0055106B"/>
    <w:rsid w:val="00552654"/>
    <w:rsid w:val="005555E7"/>
    <w:rsid w:val="00555F4E"/>
    <w:rsid w:val="0057459C"/>
    <w:rsid w:val="00577A55"/>
    <w:rsid w:val="00583D3E"/>
    <w:rsid w:val="00584A71"/>
    <w:rsid w:val="00595870"/>
    <w:rsid w:val="005A0EF3"/>
    <w:rsid w:val="005A5C5F"/>
    <w:rsid w:val="005B0557"/>
    <w:rsid w:val="005C4E9E"/>
    <w:rsid w:val="005C54B4"/>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6A7A"/>
    <w:rsid w:val="00804577"/>
    <w:rsid w:val="00816E1B"/>
    <w:rsid w:val="008177C7"/>
    <w:rsid w:val="008234DA"/>
    <w:rsid w:val="00825D6B"/>
    <w:rsid w:val="00827E6A"/>
    <w:rsid w:val="00832E30"/>
    <w:rsid w:val="008369B0"/>
    <w:rsid w:val="00847466"/>
    <w:rsid w:val="008604B0"/>
    <w:rsid w:val="008740C1"/>
    <w:rsid w:val="0087547D"/>
    <w:rsid w:val="00876D1D"/>
    <w:rsid w:val="00895609"/>
    <w:rsid w:val="008A6F4E"/>
    <w:rsid w:val="008B2083"/>
    <w:rsid w:val="008B2BFB"/>
    <w:rsid w:val="008B567B"/>
    <w:rsid w:val="008D67C1"/>
    <w:rsid w:val="008D6BAE"/>
    <w:rsid w:val="008E14F7"/>
    <w:rsid w:val="008F4786"/>
    <w:rsid w:val="009122B2"/>
    <w:rsid w:val="00917BF2"/>
    <w:rsid w:val="00926C07"/>
    <w:rsid w:val="00932D2C"/>
    <w:rsid w:val="00941A4D"/>
    <w:rsid w:val="0095395F"/>
    <w:rsid w:val="00954AA1"/>
    <w:rsid w:val="00970433"/>
    <w:rsid w:val="0099456C"/>
    <w:rsid w:val="009A2955"/>
    <w:rsid w:val="009A4153"/>
    <w:rsid w:val="009B50A6"/>
    <w:rsid w:val="009C0E1F"/>
    <w:rsid w:val="009C78B8"/>
    <w:rsid w:val="009D4D50"/>
    <w:rsid w:val="009E3607"/>
    <w:rsid w:val="009F0437"/>
    <w:rsid w:val="009F666E"/>
    <w:rsid w:val="00A31903"/>
    <w:rsid w:val="00A45684"/>
    <w:rsid w:val="00A6246E"/>
    <w:rsid w:val="00A64808"/>
    <w:rsid w:val="00A80480"/>
    <w:rsid w:val="00A80FD5"/>
    <w:rsid w:val="00A877C7"/>
    <w:rsid w:val="00A91A3A"/>
    <w:rsid w:val="00A93DBE"/>
    <w:rsid w:val="00AA1922"/>
    <w:rsid w:val="00AC480B"/>
    <w:rsid w:val="00AF599A"/>
    <w:rsid w:val="00B0465C"/>
    <w:rsid w:val="00B1023F"/>
    <w:rsid w:val="00B17365"/>
    <w:rsid w:val="00B3322E"/>
    <w:rsid w:val="00B34341"/>
    <w:rsid w:val="00B530B3"/>
    <w:rsid w:val="00B54F33"/>
    <w:rsid w:val="00B64505"/>
    <w:rsid w:val="00B718FD"/>
    <w:rsid w:val="00B85E08"/>
    <w:rsid w:val="00B862F1"/>
    <w:rsid w:val="00B954BC"/>
    <w:rsid w:val="00B96C1A"/>
    <w:rsid w:val="00BA1A55"/>
    <w:rsid w:val="00BA4728"/>
    <w:rsid w:val="00BB03CD"/>
    <w:rsid w:val="00BB1BBB"/>
    <w:rsid w:val="00BB3262"/>
    <w:rsid w:val="00BB74D8"/>
    <w:rsid w:val="00BD4E6F"/>
    <w:rsid w:val="00BD543E"/>
    <w:rsid w:val="00BE3584"/>
    <w:rsid w:val="00C00427"/>
    <w:rsid w:val="00C063ED"/>
    <w:rsid w:val="00C116AA"/>
    <w:rsid w:val="00C13E8F"/>
    <w:rsid w:val="00C14110"/>
    <w:rsid w:val="00C164CA"/>
    <w:rsid w:val="00C30E2E"/>
    <w:rsid w:val="00C57542"/>
    <w:rsid w:val="00C5780C"/>
    <w:rsid w:val="00C61CCD"/>
    <w:rsid w:val="00C656DC"/>
    <w:rsid w:val="00C71D5C"/>
    <w:rsid w:val="00C9239A"/>
    <w:rsid w:val="00CA36DD"/>
    <w:rsid w:val="00CC2F87"/>
    <w:rsid w:val="00CD34D3"/>
    <w:rsid w:val="00CE11E3"/>
    <w:rsid w:val="00CE245C"/>
    <w:rsid w:val="00CE2746"/>
    <w:rsid w:val="00CE63ED"/>
    <w:rsid w:val="00CF4A89"/>
    <w:rsid w:val="00D12C10"/>
    <w:rsid w:val="00D22F31"/>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6832"/>
    <w:rsid w:val="00DA7B73"/>
    <w:rsid w:val="00DB2147"/>
    <w:rsid w:val="00DB48EE"/>
    <w:rsid w:val="00DB6425"/>
    <w:rsid w:val="00DC5D43"/>
    <w:rsid w:val="00DE23A0"/>
    <w:rsid w:val="00DF1754"/>
    <w:rsid w:val="00E1628B"/>
    <w:rsid w:val="00E174DA"/>
    <w:rsid w:val="00E26BED"/>
    <w:rsid w:val="00E31F50"/>
    <w:rsid w:val="00E54C91"/>
    <w:rsid w:val="00E563EB"/>
    <w:rsid w:val="00E578B5"/>
    <w:rsid w:val="00E6205C"/>
    <w:rsid w:val="00E652F3"/>
    <w:rsid w:val="00E72423"/>
    <w:rsid w:val="00E76E63"/>
    <w:rsid w:val="00EC15B9"/>
    <w:rsid w:val="00ED2999"/>
    <w:rsid w:val="00ED33DC"/>
    <w:rsid w:val="00ED4939"/>
    <w:rsid w:val="00EE4854"/>
    <w:rsid w:val="00F01DD7"/>
    <w:rsid w:val="00F22489"/>
    <w:rsid w:val="00F234F5"/>
    <w:rsid w:val="00F77CD4"/>
    <w:rsid w:val="00F81ABA"/>
    <w:rsid w:val="00F85E64"/>
    <w:rsid w:val="00F953F8"/>
    <w:rsid w:val="00FA7402"/>
    <w:rsid w:val="00FA79EA"/>
    <w:rsid w:val="00FB14EE"/>
    <w:rsid w:val="00FB4B59"/>
    <w:rsid w:val="00FC4D64"/>
    <w:rsid w:val="00FD3CCD"/>
    <w:rsid w:val="00FE3108"/>
    <w:rsid w:val="00FE3361"/>
    <w:rsid w:val="00FE6175"/>
    <w:rsid w:val="00FE7DD8"/>
    <w:rsid w:val="00FF08FA"/>
    <w:rsid w:val="00FF712A"/>
    <w:rsid w:val="02BA1A8F"/>
    <w:rsid w:val="04CD54AD"/>
    <w:rsid w:val="05DE7CC7"/>
    <w:rsid w:val="0693466F"/>
    <w:rsid w:val="112F711B"/>
    <w:rsid w:val="129C5AEC"/>
    <w:rsid w:val="14355B0C"/>
    <w:rsid w:val="1AFB098B"/>
    <w:rsid w:val="256E315D"/>
    <w:rsid w:val="277565FC"/>
    <w:rsid w:val="2B2F06EE"/>
    <w:rsid w:val="2D3543DD"/>
    <w:rsid w:val="42FB70DF"/>
    <w:rsid w:val="43F97ACA"/>
    <w:rsid w:val="495B5580"/>
    <w:rsid w:val="4A533B25"/>
    <w:rsid w:val="4B292024"/>
    <w:rsid w:val="4D92587F"/>
    <w:rsid w:val="52934B73"/>
    <w:rsid w:val="557165CE"/>
    <w:rsid w:val="56B2718B"/>
    <w:rsid w:val="577E6F33"/>
    <w:rsid w:val="64850826"/>
    <w:rsid w:val="670E135B"/>
    <w:rsid w:val="71377D83"/>
    <w:rsid w:val="7A0B090B"/>
    <w:rsid w:val="7E3F7C8E"/>
    <w:rsid w:val="7FB9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character" w:customStyle="1" w:styleId="12">
    <w:name w:val="fs15"/>
    <w:basedOn w:val="6"/>
    <w:uiPriority w:val="0"/>
    <w:rPr>
      <w:sz w:val="22"/>
      <w:szCs w:val="22"/>
    </w:rPr>
  </w:style>
  <w:style w:type="character" w:customStyle="1" w:styleId="13">
    <w:name w:val="fs28"/>
    <w:basedOn w:val="6"/>
    <w:uiPriority w:val="0"/>
    <w:rPr>
      <w:sz w:val="42"/>
      <w:szCs w:val="42"/>
    </w:rPr>
  </w:style>
  <w:style w:type="character" w:customStyle="1" w:styleId="14">
    <w:name w:val="fs16"/>
    <w:basedOn w:val="6"/>
    <w:uiPriority w:val="0"/>
    <w:rPr>
      <w:sz w:val="24"/>
      <w:szCs w:val="24"/>
    </w:rPr>
  </w:style>
  <w:style w:type="character" w:customStyle="1" w:styleId="15">
    <w:name w:val="fs17"/>
    <w:basedOn w:val="6"/>
    <w:uiPriority w:val="0"/>
    <w:rPr>
      <w:sz w:val="25"/>
      <w:szCs w:val="25"/>
    </w:rPr>
  </w:style>
  <w:style w:type="character" w:customStyle="1" w:styleId="16">
    <w:name w:val="fs14"/>
    <w:basedOn w:val="6"/>
    <w:uiPriority w:val="0"/>
    <w:rPr>
      <w:sz w:val="21"/>
      <w:szCs w:val="21"/>
    </w:rPr>
  </w:style>
  <w:style w:type="character" w:customStyle="1" w:styleId="17">
    <w:name w:val="noline"/>
    <w:basedOn w:val="6"/>
    <w:uiPriority w:val="0"/>
  </w:style>
  <w:style w:type="character" w:customStyle="1" w:styleId="18">
    <w:name w:val="data"/>
    <w:basedOn w:val="6"/>
    <w:uiPriority w:val="0"/>
    <w:rPr>
      <w:rFonts w:ascii="Segoe UI" w:hAnsi="Segoe UI" w:eastAsia="Segoe UI" w:cs="Segoe UI"/>
      <w:color w:val="999999"/>
      <w:sz w:val="21"/>
      <w:szCs w:val="21"/>
    </w:rPr>
  </w:style>
  <w:style w:type="character" w:customStyle="1" w:styleId="19">
    <w:name w:val="fs20"/>
    <w:basedOn w:val="6"/>
    <w:uiPriority w:val="0"/>
    <w:rPr>
      <w:sz w:val="30"/>
      <w:szCs w:val="30"/>
    </w:rPr>
  </w:style>
  <w:style w:type="character" w:customStyle="1" w:styleId="20">
    <w:name w:val="fs18"/>
    <w:basedOn w:val="6"/>
    <w:uiPriority w:val="0"/>
    <w:rPr>
      <w:sz w:val="27"/>
      <w:szCs w:val="27"/>
    </w:rPr>
  </w:style>
  <w:style w:type="character" w:customStyle="1" w:styleId="21">
    <w:name w:val="fs21"/>
    <w:basedOn w:val="6"/>
    <w:qFormat/>
    <w:uiPriority w:val="0"/>
    <w:rPr>
      <w:sz w:val="31"/>
      <w:szCs w:val="31"/>
    </w:rPr>
  </w:style>
  <w:style w:type="character" w:customStyle="1" w:styleId="22">
    <w:name w:val="fs19"/>
    <w:basedOn w:val="6"/>
    <w:qFormat/>
    <w:uiPriority w:val="0"/>
    <w:rPr>
      <w:sz w:val="28"/>
      <w:szCs w:val="28"/>
    </w:rPr>
  </w:style>
  <w:style w:type="character" w:customStyle="1" w:styleId="23">
    <w:name w:val="fs27"/>
    <w:basedOn w:val="6"/>
    <w:qFormat/>
    <w:uiPriority w:val="0"/>
    <w:rPr>
      <w:sz w:val="40"/>
      <w:szCs w:val="40"/>
    </w:rPr>
  </w:style>
  <w:style w:type="character" w:customStyle="1" w:styleId="24">
    <w:name w:val="fs22"/>
    <w:basedOn w:val="6"/>
    <w:qFormat/>
    <w:uiPriority w:val="0"/>
    <w:rPr>
      <w:sz w:val="33"/>
      <w:szCs w:val="33"/>
    </w:rPr>
  </w:style>
  <w:style w:type="character" w:customStyle="1" w:styleId="25">
    <w:name w:val="fs23"/>
    <w:basedOn w:val="6"/>
    <w:qFormat/>
    <w:uiPriority w:val="0"/>
    <w:rPr>
      <w:sz w:val="34"/>
      <w:szCs w:val="34"/>
    </w:rPr>
  </w:style>
  <w:style w:type="character" w:customStyle="1" w:styleId="26">
    <w:name w:val="fs24"/>
    <w:basedOn w:val="6"/>
    <w:qFormat/>
    <w:uiPriority w:val="0"/>
    <w:rPr>
      <w:sz w:val="36"/>
      <w:szCs w:val="36"/>
    </w:rPr>
  </w:style>
  <w:style w:type="character" w:customStyle="1" w:styleId="27">
    <w:name w:val="fs25"/>
    <w:basedOn w:val="6"/>
    <w:uiPriority w:val="0"/>
    <w:rPr>
      <w:sz w:val="37"/>
      <w:szCs w:val="37"/>
    </w:rPr>
  </w:style>
  <w:style w:type="character" w:customStyle="1" w:styleId="28">
    <w:name w:val="fs26"/>
    <w:basedOn w:val="6"/>
    <w:uiPriority w:val="0"/>
    <w:rPr>
      <w:sz w:val="39"/>
      <w:szCs w:val="39"/>
    </w:rPr>
  </w:style>
  <w:style w:type="character" w:customStyle="1" w:styleId="29">
    <w:name w:val="fs30"/>
    <w:basedOn w:val="6"/>
    <w:uiPriority w:val="0"/>
    <w:rPr>
      <w:sz w:val="45"/>
      <w:szCs w:val="45"/>
    </w:rPr>
  </w:style>
  <w:style w:type="character" w:customStyle="1" w:styleId="30">
    <w:name w:val="fs29"/>
    <w:basedOn w:val="6"/>
    <w:uiPriority w:val="0"/>
    <w:rPr>
      <w:sz w:val="43"/>
      <w:szCs w:val="4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612</Words>
  <Characters>3495</Characters>
  <Lines>29</Lines>
  <Paragraphs>8</Paragraphs>
  <ScaleCrop>false</ScaleCrop>
  <LinksUpToDate>false</LinksUpToDate>
  <CharactersWithSpaces>4099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2017-02-20T09:02:00Z</dcterms:created>
  <dc:creator>预算处(税政处、编审中心)-王威</dc:creator>
  <cp:lastModifiedBy>Administrator</cp:lastModifiedBy>
  <cp:lastPrinted>2017-02-21T10:01:00Z</cp:lastPrinted>
  <dcterms:modified xsi:type="dcterms:W3CDTF">2018-02-26T01:35:17Z</dcterms:modified>
  <dc:title>辽宁省财政厅部门预算</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